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医院合作管理费为业务收入的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%</w:t>
      </w:r>
      <w:r>
        <w:rPr>
          <w:rFonts w:hint="eastAsia"/>
          <w:lang w:val="en-US" w:eastAsia="zh-CN"/>
        </w:rPr>
        <w:t>，且不低于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备注：如果按各产品分别计算，可单独列出。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单位（盖章）：</w:t>
      </w:r>
      <w:r>
        <w:rPr>
          <w:rFonts w:hint="eastAsia"/>
          <w:lang w:val="en-US" w:eastAsia="zh-CN"/>
        </w:rPr>
        <w:t xml:space="preserve">             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法定代表人（或授权代表人）签字：_________</w:t>
      </w:r>
    </w:p>
    <w:p>
      <w:pPr>
        <w:jc w:val="righ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日期：______年____月____日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6AD8"/>
    <w:rsid w:val="29201BCA"/>
    <w:rsid w:val="31D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2025-08-07T06:16:00Z</dcterms:created>
  <dc:creator>Administrator</dc:creator>
  <cp:lastModifiedBy>卢江</cp:lastModifiedBy>
  <dcterms:modified xsi:type="dcterms:W3CDTF">2025-08-07T08:56:39Z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A7E2CEBF71E3410FBB02B5FD7F046F5C</vt:lpwstr>
  </property>
</Properties>
</file>